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AD" w:rsidRDefault="004A7CA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ТАМОЖЕННОГО КОМИТЕТА РЕСПУБЛИКИ БЕЛАРУСЬ</w:t>
      </w:r>
    </w:p>
    <w:p w:rsidR="004A7CAD" w:rsidRDefault="004A7CAD">
      <w:pPr>
        <w:pStyle w:val="newncpi"/>
        <w:ind w:firstLine="0"/>
        <w:jc w:val="center"/>
      </w:pPr>
      <w:r>
        <w:rPr>
          <w:rStyle w:val="datepr"/>
        </w:rPr>
        <w:t>18 июня 2019 г.</w:t>
      </w:r>
      <w:r>
        <w:rPr>
          <w:rStyle w:val="number"/>
        </w:rPr>
        <w:t xml:space="preserve"> № 26</w:t>
      </w:r>
    </w:p>
    <w:p w:rsidR="004A7CAD" w:rsidRDefault="004A7CAD">
      <w:pPr>
        <w:pStyle w:val="titlencpi"/>
      </w:pPr>
      <w:r>
        <w:t>Об утверждении Инструкции о порядке согласования с таможенными органами решений</w:t>
      </w:r>
    </w:p>
    <w:p w:rsidR="004A7CAD" w:rsidRDefault="004A7CAD">
      <w:pPr>
        <w:pStyle w:val="changei"/>
      </w:pPr>
      <w:r>
        <w:t>Изменения и дополнения:</w:t>
      </w:r>
    </w:p>
    <w:p w:rsidR="004A7CAD" w:rsidRDefault="004A7CAD">
      <w:pPr>
        <w:pStyle w:val="changeadd"/>
      </w:pPr>
      <w:r>
        <w:t>Постановление Государственного таможенного комитета Республики Беларусь от 16 сентября 2019 г. № 43 (зарегистрировано в Национальном реестре - № 8/34620 от 19.09.2019 г.) &lt;W21934620&gt;</w:t>
      </w:r>
    </w:p>
    <w:p w:rsidR="004A7CAD" w:rsidRDefault="004A7CAD">
      <w:pPr>
        <w:pStyle w:val="newncpi"/>
      </w:pPr>
      <w:r>
        <w:t> </w:t>
      </w:r>
    </w:p>
    <w:p w:rsidR="004A7CAD" w:rsidRDefault="004A7CAD">
      <w:pPr>
        <w:pStyle w:val="preamble"/>
      </w:pPr>
      <w:r>
        <w:t>На основании части восьмой пункта 3, части второй подпункта 10.2 пункта 10 Положения о свободных таможенных зонах, созданных на территориях свободных (специальных, особых) экономических зон, утвержденного Указом Президента Республики Беларусь от 31 января 2006 г. № 66, и подпункта 10.7 пункта 10 Положения о Государственном таможенном комитете Республики Беларусь, утвержденного Указом Президента Республики Беларусь от 21 апреля 2008 г. № 228, Государственный таможенный комитет Республики Беларусь ПОСТАНОВЛЯЕТ:</w:t>
      </w:r>
    </w:p>
    <w:p w:rsidR="004A7CAD" w:rsidRDefault="004A7CAD">
      <w:pPr>
        <w:pStyle w:val="point"/>
      </w:pPr>
      <w:r>
        <w:t>1. Утвердить Инструкцию о порядке согласования с таможенными органами решений (прилагается).</w:t>
      </w:r>
    </w:p>
    <w:p w:rsidR="004A7CAD" w:rsidRDefault="004A7CAD">
      <w:pPr>
        <w:pStyle w:val="point"/>
      </w:pPr>
      <w:r>
        <w:t>2. Признать утратившим силу постановление Государственного таможенного комитета Республики Беларусь от 27 февраля 2014 г. № 7 «Об утверждении Инструкции о порядке согласования с таможнями решений администраций свободных (особых) экономических зон об определении пределов свободных таможенных зон и об упразднении свободных таможенных зон».</w:t>
      </w:r>
    </w:p>
    <w:p w:rsidR="004A7CAD" w:rsidRDefault="004A7CAD">
      <w:pPr>
        <w:pStyle w:val="point"/>
      </w:pPr>
      <w:r>
        <w:t>3. Настоящее постановление вступает в силу через десять дней после его официального опубликования.</w:t>
      </w:r>
    </w:p>
    <w:p w:rsidR="004A7CAD" w:rsidRDefault="004A7C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4A7CA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A7CAD" w:rsidRDefault="004A7CA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A7CAD" w:rsidRDefault="004A7CAD">
            <w:pPr>
              <w:pStyle w:val="newncpi0"/>
              <w:jc w:val="right"/>
            </w:pPr>
            <w:r>
              <w:rPr>
                <w:rStyle w:val="pers"/>
              </w:rPr>
              <w:t>Ю.А.Сенько</w:t>
            </w:r>
          </w:p>
        </w:tc>
      </w:tr>
    </w:tbl>
    <w:p w:rsidR="004A7CAD" w:rsidRDefault="004A7CAD">
      <w:pPr>
        <w:pStyle w:val="newncpi0"/>
      </w:pPr>
      <w:r>
        <w:t> </w:t>
      </w:r>
    </w:p>
    <w:p w:rsidR="004A7CAD" w:rsidRDefault="004A7CAD">
      <w:pPr>
        <w:pStyle w:val="agree"/>
      </w:pPr>
      <w:r>
        <w:t>СОГЛАСОВАНО</w:t>
      </w:r>
    </w:p>
    <w:p w:rsidR="004A7CAD" w:rsidRDefault="004A7CAD">
      <w:pPr>
        <w:pStyle w:val="agree"/>
      </w:pPr>
      <w:r>
        <w:t>Министерство иностранных дел</w:t>
      </w:r>
      <w:r>
        <w:br/>
        <w:t>Республики Беларусь</w:t>
      </w:r>
    </w:p>
    <w:p w:rsidR="004A7CAD" w:rsidRDefault="004A7CAD">
      <w:pPr>
        <w:pStyle w:val="agree"/>
      </w:pPr>
      <w:r>
        <w:t> </w:t>
      </w:r>
    </w:p>
    <w:p w:rsidR="004A7CAD" w:rsidRDefault="004A7CAD">
      <w:pPr>
        <w:pStyle w:val="agree"/>
      </w:pPr>
      <w:r>
        <w:t xml:space="preserve">Государственное учреждение </w:t>
      </w:r>
      <w:r>
        <w:br/>
        <w:t xml:space="preserve">«Администрация свободной </w:t>
      </w:r>
      <w:r>
        <w:br/>
        <w:t>экономической зоны «Брест»</w:t>
      </w:r>
    </w:p>
    <w:p w:rsidR="004A7CAD" w:rsidRDefault="004A7CAD">
      <w:pPr>
        <w:pStyle w:val="agree"/>
      </w:pPr>
      <w:r>
        <w:t> </w:t>
      </w:r>
    </w:p>
    <w:p w:rsidR="004A7CAD" w:rsidRDefault="004A7CAD">
      <w:pPr>
        <w:pStyle w:val="agree"/>
      </w:pPr>
      <w:r>
        <w:t xml:space="preserve">Государственное учреждение </w:t>
      </w:r>
      <w:r>
        <w:br/>
        <w:t xml:space="preserve">«Администрация свободной </w:t>
      </w:r>
      <w:r>
        <w:br/>
        <w:t>экономической зоны «Витебск»</w:t>
      </w:r>
    </w:p>
    <w:p w:rsidR="004A7CAD" w:rsidRDefault="004A7CAD">
      <w:pPr>
        <w:pStyle w:val="agree"/>
      </w:pPr>
      <w:r>
        <w:t> </w:t>
      </w:r>
    </w:p>
    <w:p w:rsidR="004A7CAD" w:rsidRDefault="004A7CAD">
      <w:pPr>
        <w:pStyle w:val="agree"/>
      </w:pPr>
      <w:r>
        <w:t xml:space="preserve">Государственное учреждение </w:t>
      </w:r>
      <w:r>
        <w:br/>
        <w:t xml:space="preserve">«Администрация свободной </w:t>
      </w:r>
      <w:r>
        <w:br/>
        <w:t>экономической зоны «Гомель-Ратон»</w:t>
      </w:r>
    </w:p>
    <w:p w:rsidR="004A7CAD" w:rsidRDefault="004A7CAD">
      <w:pPr>
        <w:pStyle w:val="agree"/>
      </w:pPr>
      <w:r>
        <w:t> </w:t>
      </w:r>
    </w:p>
    <w:p w:rsidR="004A7CAD" w:rsidRDefault="004A7CAD">
      <w:pPr>
        <w:pStyle w:val="agree"/>
      </w:pPr>
      <w:r>
        <w:t xml:space="preserve">Государственное учреждение </w:t>
      </w:r>
      <w:r>
        <w:br/>
        <w:t xml:space="preserve">«Администрация свободной </w:t>
      </w:r>
      <w:r>
        <w:br/>
        <w:t>экономической зоны «Гродноинвест»</w:t>
      </w:r>
    </w:p>
    <w:p w:rsidR="004A7CAD" w:rsidRDefault="004A7CAD">
      <w:pPr>
        <w:pStyle w:val="agree"/>
      </w:pPr>
      <w:r>
        <w:t> </w:t>
      </w:r>
    </w:p>
    <w:p w:rsidR="004A7CAD" w:rsidRDefault="004A7CAD">
      <w:pPr>
        <w:pStyle w:val="agree"/>
      </w:pPr>
      <w:r>
        <w:lastRenderedPageBreak/>
        <w:t xml:space="preserve">Государственное учреждение </w:t>
      </w:r>
      <w:r>
        <w:br/>
        <w:t xml:space="preserve">«Администрация свободной </w:t>
      </w:r>
      <w:r>
        <w:br/>
        <w:t>экономической зоны «Минск»</w:t>
      </w:r>
    </w:p>
    <w:p w:rsidR="004A7CAD" w:rsidRDefault="004A7CAD">
      <w:pPr>
        <w:pStyle w:val="agree"/>
      </w:pPr>
      <w:r>
        <w:t> </w:t>
      </w:r>
    </w:p>
    <w:p w:rsidR="004A7CAD" w:rsidRDefault="004A7CAD">
      <w:pPr>
        <w:pStyle w:val="agree"/>
      </w:pPr>
      <w:r>
        <w:t xml:space="preserve">Государственное учреждение </w:t>
      </w:r>
      <w:r>
        <w:br/>
        <w:t xml:space="preserve">«Администрация свободной </w:t>
      </w:r>
      <w:r>
        <w:br/>
        <w:t>экономической зоны «Могилев»</w:t>
      </w:r>
    </w:p>
    <w:p w:rsidR="004A7CAD" w:rsidRDefault="004A7CAD">
      <w:pPr>
        <w:pStyle w:val="agree"/>
      </w:pPr>
      <w:r>
        <w:t> </w:t>
      </w:r>
    </w:p>
    <w:p w:rsidR="004A7CAD" w:rsidRDefault="004A7CAD">
      <w:pPr>
        <w:pStyle w:val="agree"/>
      </w:pPr>
      <w:r>
        <w:t xml:space="preserve">Государственное учреждение </w:t>
      </w:r>
      <w:r>
        <w:br/>
        <w:t xml:space="preserve">«Администрация Китайско-Белорусского </w:t>
      </w:r>
      <w:r>
        <w:br/>
        <w:t>индустриального парка «Великий камень»</w:t>
      </w:r>
    </w:p>
    <w:p w:rsidR="004A7CAD" w:rsidRDefault="004A7C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4A7CA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CAD" w:rsidRDefault="004A7CAD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7CAD" w:rsidRDefault="004A7CAD">
            <w:pPr>
              <w:pStyle w:val="capu1"/>
            </w:pPr>
            <w:r>
              <w:t>УТВЕРЖДЕНО</w:t>
            </w:r>
          </w:p>
          <w:p w:rsidR="004A7CAD" w:rsidRDefault="004A7CAD">
            <w:pPr>
              <w:pStyle w:val="cap1"/>
            </w:pPr>
            <w:r>
              <w:t>Постановление</w:t>
            </w:r>
            <w:r>
              <w:br/>
              <w:t>Государственного</w:t>
            </w:r>
            <w:r>
              <w:br/>
              <w:t>таможенного комитета</w:t>
            </w:r>
            <w:r>
              <w:br/>
              <w:t>Республики Беларусь</w:t>
            </w:r>
            <w:r>
              <w:br/>
              <w:t>18.06.2019 № 26</w:t>
            </w:r>
          </w:p>
        </w:tc>
      </w:tr>
    </w:tbl>
    <w:p w:rsidR="004A7CAD" w:rsidRDefault="004A7CAD">
      <w:pPr>
        <w:pStyle w:val="titleu"/>
      </w:pPr>
      <w:r>
        <w:t>ИНСТРУКЦИЯ</w:t>
      </w:r>
      <w:r>
        <w:br/>
        <w:t>о порядке согласования с таможенными органами решений</w:t>
      </w:r>
    </w:p>
    <w:p w:rsidR="004A7CAD" w:rsidRDefault="004A7CAD">
      <w:pPr>
        <w:pStyle w:val="point"/>
      </w:pPr>
      <w:r>
        <w:t>1. Настоящая Инструкция определяет порядок согласования с таможенными органами решений администраций свободных (специальных, особых) экономических зон (далее – СЭЗ) или иного юридического лица, уполномоченного в соответствии с законодательными актами устанавливать пределы свободных таможенных зон (далее – уполномоченное лицо), об определении пределов свободных таможенных зон (далее – решение об определении пределов СТЗ) и решений администраций СЭЗ или уполномоченного лица об упразднении свободных таможенных зон (далее – решение об упразднении СТЗ).</w:t>
      </w:r>
    </w:p>
    <w:p w:rsidR="004A7CAD" w:rsidRDefault="004A7CAD">
      <w:pPr>
        <w:pStyle w:val="point"/>
      </w:pPr>
      <w:r>
        <w:t>2. Для согласования решения об определении пределов СТЗ администрация СЭЗ или уполномоченное лицо направляет посредством системы межведомственного электронного документооборота государственных органов (далее – СМДО) в таможню, в регионе деятельности которой находится лицо, для которого определяются пределы свободной таможенной зоны (далее – СТЗ), обращение администрации СЭЗ или уполномоченного лица о согласовании решения об определении пределов СТЗ с приложением следующих документов:</w:t>
      </w:r>
    </w:p>
    <w:p w:rsidR="004A7CAD" w:rsidRDefault="004A7CAD">
      <w:pPr>
        <w:pStyle w:val="underpoint"/>
      </w:pPr>
      <w:r>
        <w:t>2.1. решения об определении пределов СТЗ, подписанного главой администрации СЭЗ или руководителем уполномоченного лица или ими уполномоченным заместителем;</w:t>
      </w:r>
    </w:p>
    <w:p w:rsidR="004A7CAD" w:rsidRDefault="004A7CAD">
      <w:pPr>
        <w:pStyle w:val="underpoint"/>
      </w:pPr>
      <w:r>
        <w:t>2.2. краткого описания инвестиционного проекта, подписанного главой администрации СЭЗ или руководителем уполномоченного лица или ими уполномоченным заместителем, содержащего информацию о лице, для которого определяются пределы СТЗ (учетный номер плательщика, полное и сокращенное наименование, место нахождения, информация о деятельности, которую предполагается осуществлять в пределах СТЗ, сведения о предполагаемых к изготовлению (получению) товарах в соответствии с инвестиционным проектом и (или) планируемых к строительству объектах недвижимости), – в случае, если пределы СТЗ определяются для резидента СЭЗ;</w:t>
      </w:r>
    </w:p>
    <w:p w:rsidR="004A7CAD" w:rsidRDefault="004A7CAD">
      <w:pPr>
        <w:pStyle w:val="underpoint"/>
      </w:pPr>
      <w:r>
        <w:t>2.3. копию свидетельства о государственной регистрации юридического лица, для которого определяются пределы СТЗ, а в случае определения пределов СТЗ для резидента СЭЗ также свидетельства о регистрации в качестве резидента СЭЗ;</w:t>
      </w:r>
    </w:p>
    <w:p w:rsidR="004A7CAD" w:rsidRDefault="004A7CAD">
      <w:pPr>
        <w:pStyle w:val="underpoint"/>
      </w:pPr>
      <w:r>
        <w:t>2.4. планов-схем, утвержденных администрацией СЭЗ или уполномоченным лицом, а также лицом, для которого определяются пределы СТЗ:</w:t>
      </w:r>
    </w:p>
    <w:p w:rsidR="004A7CAD" w:rsidRDefault="004A7CAD">
      <w:pPr>
        <w:pStyle w:val="newncpi"/>
      </w:pPr>
      <w:r>
        <w:lastRenderedPageBreak/>
        <w:t>общей территории СЭЗ с указанием ее границ (выкопировка из общей схемы территории) и места нахождения лица, для которого определяются пределы СТЗ, в границах территории которого определяются пределы СТЗ;</w:t>
      </w:r>
    </w:p>
    <w:p w:rsidR="004A7CAD" w:rsidRDefault="004A7CAD">
      <w:pPr>
        <w:pStyle w:val="newncpi"/>
      </w:pPr>
      <w:r>
        <w:t>производственных и (или) иных площадей резидента СЭЗ с привязкой к местности с указанием места нахождения резидента СЭЗ и прилегающих улиц;</w:t>
      </w:r>
    </w:p>
    <w:p w:rsidR="004A7CAD" w:rsidRDefault="004A7CAD">
      <w:pPr>
        <w:pStyle w:val="newncpi"/>
      </w:pPr>
      <w:r>
        <w:t>капитальных строений (зданий), комплекса капитальных строений (зданий), оборудованных территорий (при их наличии), которые включаются в пределы СТЗ, с обозначением мест въезда и выезда в СТЗ, указанием общей площади СТЗ, площадей капитальных строений (зданий), комплекса капитальных строений (зданий), оборудованной территории (при ее наличии), их функционального назначения – в случае, если в пределы СТЗ включается целое капитальное строение (здание), комплекс капитальных строений (зданий);</w:t>
      </w:r>
    </w:p>
    <w:p w:rsidR="004A7CAD" w:rsidRDefault="004A7CAD">
      <w:pPr>
        <w:pStyle w:val="newncpi"/>
      </w:pPr>
      <w:r>
        <w:t>частей капитальных строений (зданий), помещений в капитальных строениях (зданиях) с указанием этажа, оборудованных территорий (при их наличии), которые включаются в пределы СТЗ, с обозначением мест въезда и выезда в СТЗ, указанием общей площади СТЗ, площадей каждой части капитальных строений (зданий), каждого помещения в капитальных строениях (зданиях), оборудованной территории (при ее наличии), их функционального назначения – в случае, если в пределы СТЗ включаются части капитальных строений (зданий), помещения в капитальных строениях (зданиях);</w:t>
      </w:r>
    </w:p>
    <w:p w:rsidR="004A7CAD" w:rsidRDefault="004A7CAD">
      <w:pPr>
        <w:pStyle w:val="newncpi"/>
      </w:pPr>
      <w:r>
        <w:t>оборудованной территории с обозначением мест въезда и выезда в СТЗ, указанием общей площади СТЗ – в случае, если на оборудованной территории, включаемой в пределы СТЗ, отсутствуют капитальные строения (здания), их части, помещения в капитальных строениях (зданиях);</w:t>
      </w:r>
    </w:p>
    <w:p w:rsidR="004A7CAD" w:rsidRDefault="004A7CAD">
      <w:pPr>
        <w:pStyle w:val="underpoint"/>
      </w:pPr>
      <w:r>
        <w:t>2.5. согласия владельца СТЗ, на территории СТЗ которого определяются пределы такой СТЗ для резидента СЭЗ, в форме письма, подписанного руководителем владельца СТЗ, – в случае согласования решения об определении пределов СТЗ для резидента СЭЗ на территории СТЗ, определенной для владельца СТЗ;</w:t>
      </w:r>
    </w:p>
    <w:p w:rsidR="004A7CAD" w:rsidRDefault="004A7CAD">
      <w:pPr>
        <w:pStyle w:val="underpoint"/>
      </w:pPr>
      <w:r>
        <w:t>2.6. в случае согласования решения администрации СЭЗ или уполномоченного лица об определении для иного владельца СТЗ пределов территории СТЗ, в состав которой включена упраздненная СТЗ, до истечения срока, определенного частью третьей пункта 11 Положения о свободных таможенных зонах, созданных на территориях свободных (специальных, особых) экономических зон, – подтверждения иным владельцем СТЗ в форме письма отсутствия в упраздненной СТЗ товаров:</w:t>
      </w:r>
    </w:p>
    <w:p w:rsidR="004A7CAD" w:rsidRDefault="004A7CAD">
      <w:pPr>
        <w:pStyle w:val="newncpi"/>
      </w:pPr>
      <w:r>
        <w:t>помещенных под таможенную процедуру свободной таможенной зоны владельцем упраздненной СТЗ;</w:t>
      </w:r>
    </w:p>
    <w:p w:rsidR="004A7CAD" w:rsidRDefault="004A7CAD">
      <w:pPr>
        <w:pStyle w:val="newncpi"/>
      </w:pPr>
      <w:r>
        <w:t>помещенных под таможенную процедуру свободной таможенной зоны иными лицами, которые могут выступать декларантами товаров, помещаемых под таможенную процедуру свободной таможенной зоны;</w:t>
      </w:r>
    </w:p>
    <w:p w:rsidR="004A7CAD" w:rsidRDefault="004A7CAD">
      <w:pPr>
        <w:pStyle w:val="newncpi"/>
      </w:pPr>
      <w:r>
        <w:t>изготовленных (полученных) из товаров, указанных в абзацах втором и третьем настоящего подпункта.</w:t>
      </w:r>
    </w:p>
    <w:p w:rsidR="004A7CAD" w:rsidRDefault="004A7CAD">
      <w:pPr>
        <w:pStyle w:val="point"/>
      </w:pPr>
      <w:r>
        <w:t>3. В случае невозможности направления посредством СМДО документов, указанных в подпункте 2.4 пункта 2 настоящей Инструкции, такие документы представляются в таможню, в регионе деятельности которой находится лицо, для которого определяются пределы СТЗ, на бумажном носителе.</w:t>
      </w:r>
    </w:p>
    <w:p w:rsidR="004A7CAD" w:rsidRDefault="004A7CAD">
      <w:pPr>
        <w:pStyle w:val="newncpi"/>
      </w:pPr>
      <w:r>
        <w:t>В случае представления посредством СМДО документов, указанных в подпункте 2.4 пункта 2 настоящей Инструкции, которые содержат неразборчивые (искаженные) сведения и (или) изображения, таможня может запросить представление таких документов на бумажном носителе. При этом такие документы могут быть представлены в виде оригиналов, нотариально засвидетельствованных копий либо копий, заверенных администрацией СЭЗ или уполномоченным лицом.</w:t>
      </w:r>
    </w:p>
    <w:p w:rsidR="004A7CAD" w:rsidRDefault="004A7CAD">
      <w:pPr>
        <w:pStyle w:val="point"/>
      </w:pPr>
      <w:r>
        <w:t xml:space="preserve">4. В случае, если СТЗ, решение об определении пределов которой согласовывается, является портовой СТЗ, логистической СТЗ либо территориальной СТЗ, в обращении </w:t>
      </w:r>
      <w:r>
        <w:lastRenderedPageBreak/>
        <w:t>администрации СЭЗ или уполномоченного лица о согласовании решения об определении пределов СТЗ должно быть указано, что такая СТЗ является портовой СТЗ, логистической СТЗ либо территориальной СТЗ.</w:t>
      </w:r>
    </w:p>
    <w:p w:rsidR="004A7CAD" w:rsidRDefault="004A7CAD">
      <w:pPr>
        <w:pStyle w:val="point"/>
      </w:pPr>
      <w:r>
        <w:t>5. Для согласования решения об упразднении СТЗ администрация СЭЗ или уполномоченное лицо направляет посредством СМДО в таможню, в регионе деятельности которой находится владелец СТЗ, обращение администрации СЭЗ или уполномоченного лица о согласовании решения об упразднении СТЗ с приложением решения об упразднении СТЗ, подписанного главой администрации СЭЗ или руководителем уполномоченного лица или ими уполномоченным заместителем.</w:t>
      </w:r>
    </w:p>
    <w:p w:rsidR="004A7CAD" w:rsidRDefault="004A7CAD">
      <w:pPr>
        <w:pStyle w:val="newncpi"/>
      </w:pPr>
      <w:r>
        <w:t>В обращении о согласовании решения об упразднении СТЗ должна содержаться информация об основаниях упразднения такой СТЗ, если такие основания не указаны в решении администрации СЭЗ или уполномоченного лица об упразднении СТЗ.</w:t>
      </w:r>
    </w:p>
    <w:p w:rsidR="004A7CAD" w:rsidRDefault="004A7CAD">
      <w:pPr>
        <w:pStyle w:val="point"/>
      </w:pPr>
      <w:r>
        <w:t>6. По результатам рассмотрения представленного администрацией СЭЗ или уполномоченным лицом обращения о согласовании решения об определении пределов СТЗ либо решения об упразднении СТЗ начальником таможни либо его уполномоченным заместителем принимается одно из следующих решений:</w:t>
      </w:r>
    </w:p>
    <w:p w:rsidR="004A7CAD" w:rsidRDefault="004A7CAD">
      <w:pPr>
        <w:pStyle w:val="newncpi"/>
      </w:pPr>
      <w:r>
        <w:t>о согласовании решения об определении пределов СТЗ либо решения об упразднении СТЗ;</w:t>
      </w:r>
    </w:p>
    <w:p w:rsidR="004A7CAD" w:rsidRDefault="004A7CAD">
      <w:pPr>
        <w:pStyle w:val="newncpi"/>
      </w:pPr>
      <w:r>
        <w:t>об оставлении обращения администрации СЭЗ или уполномоченного лица без рассмотрения;</w:t>
      </w:r>
    </w:p>
    <w:p w:rsidR="004A7CAD" w:rsidRDefault="004A7CAD">
      <w:pPr>
        <w:pStyle w:val="newncpi"/>
      </w:pPr>
      <w:r>
        <w:t>об отказе в согласовании решения об определении пределов СТЗ.</w:t>
      </w:r>
    </w:p>
    <w:p w:rsidR="004A7CAD" w:rsidRDefault="004A7CAD">
      <w:pPr>
        <w:pStyle w:val="point"/>
      </w:pPr>
      <w:r>
        <w:t>7. Решение о согласовании решения об определении пределов СТЗ либо решения об упразднении СТЗ принимается в течение десяти рабочих дней, следующих за днем регистрации в таможне обращения администрации СЭЗ или уполномоченного лица о согласовании решения об определении пределов СТЗ либо решения об упразднении СТЗ, оформляется на бланке письма таможни, подписывается начальником таможни либо его уполномоченным заместителем и направляется администрации СЭЗ или уполномоченному лицу посредством СМДО.</w:t>
      </w:r>
    </w:p>
    <w:p w:rsidR="004A7CAD" w:rsidRDefault="004A7CAD">
      <w:pPr>
        <w:pStyle w:val="newncpi"/>
      </w:pPr>
      <w:r>
        <w:t>В случае необходимости представления документов в соответствии с частью второй пункта 3 настоящей Инструкции течение срока, указанного в части первой настоящего пункта, приостанавливается со дня регистрации таможней направленного администрации СЭЗ или уполномоченному лицу запроса о необходимости представления документов на бумажном носителе и возобновляется со дня получения таможней таких документов.</w:t>
      </w:r>
    </w:p>
    <w:p w:rsidR="004A7CAD" w:rsidRDefault="004A7CAD">
      <w:pPr>
        <w:pStyle w:val="point"/>
      </w:pPr>
      <w:r>
        <w:t>8. Решение об оставлении обращения администрации СЭЗ или уполномоченного лица без рассмотрения принимается в случае, если такое обращение и прилагаемые к нему документы направлены с нарушением требований, предусмотренных пунктами 2–5 настоящей Инструкции.</w:t>
      </w:r>
    </w:p>
    <w:p w:rsidR="004A7CAD" w:rsidRDefault="004A7CAD">
      <w:pPr>
        <w:pStyle w:val="newncpi"/>
      </w:pPr>
      <w:r>
        <w:t>Решение об оставлении обращения администрации СЭЗ или уполномоченного лица без рассмотрения принимается в течение пяти рабочих дней, следующих за днем регистрации в таможне обращения администрации СЭЗ или уполномоченного лица о согласовании решения об определении пределов СТЗ либо решения об упразднении СТЗ, подписывается начальником таможни либо его уполномоченным заместителем с указанием причин принятия такого решения и направляется администрации СЭЗ или уполномоченному лицу посредством СМДО.</w:t>
      </w:r>
    </w:p>
    <w:p w:rsidR="004A7CAD" w:rsidRDefault="004A7CAD">
      <w:pPr>
        <w:pStyle w:val="point"/>
      </w:pPr>
      <w:r>
        <w:t>9. Решение об отказе в согласовании решения об определении пределов СТЗ принимается в следующих случаях:</w:t>
      </w:r>
    </w:p>
    <w:p w:rsidR="004A7CAD" w:rsidRDefault="004A7CAD">
      <w:pPr>
        <w:pStyle w:val="newncpi"/>
      </w:pPr>
      <w:r>
        <w:t>наличия в упраздненной СТЗ, включаемой в состав вновь определяемой СТЗ иного владельца СТЗ, товаров, указанных в части третьей пункта 11 Положения о свободных таможенных зонах, созданных на территориях свободных (специальных, особых) экономических зон;</w:t>
      </w:r>
    </w:p>
    <w:p w:rsidR="004A7CAD" w:rsidRDefault="004A7CAD">
      <w:pPr>
        <w:pStyle w:val="newncpi"/>
      </w:pPr>
      <w:r>
        <w:t>несоответствия фактически имеющихся сооружений и пределов СТЗ представленным планам-схемам.</w:t>
      </w:r>
    </w:p>
    <w:p w:rsidR="004A7CAD" w:rsidRDefault="004A7CAD">
      <w:pPr>
        <w:pStyle w:val="newncpi"/>
      </w:pPr>
      <w:r>
        <w:lastRenderedPageBreak/>
        <w:t>Решение об отказе в согласовании решения об определении пределов СТЗ принимается в течение десяти рабочих дней, следующих за днем регистрации в таможне обращения администрации СЭЗ или уполномоченного лица о согласовании решения об определении пределов СТЗ, подписывается начальником таможни либо его уполномоченным заместителем с указанием причин отказа и направляется администрации СЭЗ или уполномоченному лицу посредством СМДО.</w:t>
      </w:r>
    </w:p>
    <w:p w:rsidR="004A7CAD" w:rsidRDefault="004A7CAD">
      <w:pPr>
        <w:pStyle w:val="newncpi"/>
      </w:pPr>
      <w:r>
        <w:t> </w:t>
      </w:r>
    </w:p>
    <w:p w:rsidR="00046DF4" w:rsidRDefault="00046DF4"/>
    <w:sectPr w:rsidR="00046DF4" w:rsidSect="004A7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B69" w:rsidRDefault="00ED3B69" w:rsidP="004A7CAD">
      <w:pPr>
        <w:spacing w:after="0" w:line="240" w:lineRule="auto"/>
      </w:pPr>
      <w:r>
        <w:separator/>
      </w:r>
    </w:p>
  </w:endnote>
  <w:endnote w:type="continuationSeparator" w:id="1">
    <w:p w:rsidR="00ED3B69" w:rsidRDefault="00ED3B69" w:rsidP="004A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AD" w:rsidRDefault="004A7C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AD" w:rsidRDefault="004A7C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4A7CAD" w:rsidTr="004A7CAD">
      <w:tc>
        <w:tcPr>
          <w:tcW w:w="1800" w:type="dxa"/>
          <w:shd w:val="clear" w:color="auto" w:fill="auto"/>
          <w:vAlign w:val="center"/>
        </w:tcPr>
        <w:p w:rsidR="004A7CAD" w:rsidRDefault="004A7CA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4A7CAD" w:rsidRDefault="004A7CA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A7CAD" w:rsidRDefault="004A7CA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13.11.2019</w:t>
          </w:r>
        </w:p>
        <w:p w:rsidR="004A7CAD" w:rsidRPr="004A7CAD" w:rsidRDefault="004A7CA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A7CAD" w:rsidRDefault="004A7C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B69" w:rsidRDefault="00ED3B69" w:rsidP="004A7CAD">
      <w:pPr>
        <w:spacing w:after="0" w:line="240" w:lineRule="auto"/>
      </w:pPr>
      <w:r>
        <w:separator/>
      </w:r>
    </w:p>
  </w:footnote>
  <w:footnote w:type="continuationSeparator" w:id="1">
    <w:p w:rsidR="00ED3B69" w:rsidRDefault="00ED3B69" w:rsidP="004A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AD" w:rsidRDefault="004A7CAD" w:rsidP="00DC78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7CAD" w:rsidRDefault="004A7C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AD" w:rsidRPr="004A7CAD" w:rsidRDefault="004A7CAD" w:rsidP="00DC78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A7CAD">
      <w:rPr>
        <w:rStyle w:val="a7"/>
        <w:rFonts w:ascii="Times New Roman" w:hAnsi="Times New Roman" w:cs="Times New Roman"/>
        <w:sz w:val="24"/>
      </w:rPr>
      <w:fldChar w:fldCharType="begin"/>
    </w:r>
    <w:r w:rsidRPr="004A7CA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A7CA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A7CAD">
      <w:rPr>
        <w:rStyle w:val="a7"/>
        <w:rFonts w:ascii="Times New Roman" w:hAnsi="Times New Roman" w:cs="Times New Roman"/>
        <w:sz w:val="24"/>
      </w:rPr>
      <w:fldChar w:fldCharType="end"/>
    </w:r>
  </w:p>
  <w:p w:rsidR="004A7CAD" w:rsidRPr="004A7CAD" w:rsidRDefault="004A7CA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AD" w:rsidRDefault="004A7C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CAD"/>
    <w:rsid w:val="00046DF4"/>
    <w:rsid w:val="004A7CAD"/>
    <w:rsid w:val="00ED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A7CA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4A7CA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A7CA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A7C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A7C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A7C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A7CA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A7CA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A7C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A7CA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A7C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A7CA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A7CA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A7CA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A7CA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A7CA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A7C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A7CA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4A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7CAD"/>
  </w:style>
  <w:style w:type="paragraph" w:styleId="a5">
    <w:name w:val="footer"/>
    <w:basedOn w:val="a"/>
    <w:link w:val="a6"/>
    <w:uiPriority w:val="99"/>
    <w:semiHidden/>
    <w:unhideWhenUsed/>
    <w:rsid w:val="004A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7CAD"/>
  </w:style>
  <w:style w:type="character" w:styleId="a7">
    <w:name w:val="page number"/>
    <w:basedOn w:val="a0"/>
    <w:uiPriority w:val="99"/>
    <w:semiHidden/>
    <w:unhideWhenUsed/>
    <w:rsid w:val="004A7CAD"/>
  </w:style>
  <w:style w:type="table" w:styleId="a8">
    <w:name w:val="Table Grid"/>
    <w:basedOn w:val="a1"/>
    <w:uiPriority w:val="59"/>
    <w:rsid w:val="004A7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1483</Words>
  <Characters>10552</Characters>
  <Application>Microsoft Office Word</Application>
  <DocSecurity>0</DocSecurity>
  <Lines>215</Lines>
  <Paragraphs>64</Paragraphs>
  <ScaleCrop>false</ScaleCrop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PinchukKS</dc:creator>
  <cp:lastModifiedBy>PinchukKS</cp:lastModifiedBy>
  <cp:revision>1</cp:revision>
  <dcterms:created xsi:type="dcterms:W3CDTF">2019-11-13T13:50:00Z</dcterms:created>
  <dcterms:modified xsi:type="dcterms:W3CDTF">2019-11-13T13:50:00Z</dcterms:modified>
</cp:coreProperties>
</file>